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165232">
      <w:pPr>
        <w:jc w:val="center"/>
        <w:rPr>
          <w:lang w:val="fr-FR"/>
        </w:rPr>
      </w:pPr>
      <w:bookmarkStart w:id="0" w:name="_GoBack"/>
      <w:bookmarkEnd w:id="0"/>
    </w:p>
    <w:p w:rsidR="0075373F" w:rsidRPr="00D97B07" w:rsidRDefault="0075373F" w:rsidP="00165232">
      <w:pPr>
        <w:jc w:val="center"/>
        <w:rPr>
          <w:lang w:val="fr-FR"/>
        </w:rPr>
      </w:pPr>
    </w:p>
    <w:p w:rsidR="00A71632" w:rsidRPr="00D97B07" w:rsidRDefault="0064633B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75373F" w:rsidRDefault="00A71632" w:rsidP="0075373F">
      <w:pPr>
        <w:pStyle w:val="DecHTitle"/>
        <w:rPr>
          <w:lang w:val="fr-FR"/>
        </w:rPr>
      </w:pPr>
      <w:r w:rsidRPr="00D97B07">
        <w:rPr>
          <w:lang w:val="fr-FR"/>
        </w:rPr>
        <w:t>DÉCISION</w:t>
      </w:r>
    </w:p>
    <w:p w:rsidR="00A71632" w:rsidRPr="004F3C75" w:rsidRDefault="004F3C75" w:rsidP="0075373F">
      <w:pPr>
        <w:pStyle w:val="DecHTitl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="0064633B" w:rsidRPr="004F3C75">
        <w:rPr>
          <w:sz w:val="24"/>
          <w:szCs w:val="24"/>
          <w:lang w:val="fr-FR"/>
        </w:rPr>
        <w:t>Requête n</w:t>
      </w:r>
      <w:r w:rsidR="0064633B" w:rsidRPr="004F3C75">
        <w:rPr>
          <w:sz w:val="24"/>
          <w:szCs w:val="24"/>
          <w:vertAlign w:val="superscript"/>
          <w:lang w:val="fr-FR"/>
        </w:rPr>
        <w:t>o</w:t>
      </w:r>
      <w:r w:rsidR="00A7338E" w:rsidRPr="004F3C75">
        <w:rPr>
          <w:sz w:val="24"/>
          <w:szCs w:val="24"/>
          <w:lang w:val="fr-FR"/>
        </w:rPr>
        <w:t xml:space="preserve"> </w:t>
      </w:r>
      <w:r w:rsidR="0064633B" w:rsidRPr="004F3C75">
        <w:rPr>
          <w:sz w:val="24"/>
          <w:szCs w:val="24"/>
          <w:lang w:val="fr-FR"/>
        </w:rPr>
        <w:t>1258/11</w:t>
      </w:r>
      <w:r w:rsidR="00A7338E" w:rsidRPr="004F3C75">
        <w:rPr>
          <w:sz w:val="24"/>
          <w:szCs w:val="24"/>
          <w:lang w:val="fr-FR"/>
        </w:rPr>
        <w:br/>
      </w:r>
      <w:r w:rsidR="0064633B" w:rsidRPr="004F3C75">
        <w:rPr>
          <w:sz w:val="24"/>
          <w:szCs w:val="24"/>
          <w:lang w:val="fr-FR"/>
        </w:rPr>
        <w:t>Antonio</w:t>
      </w:r>
      <w:r w:rsidR="00A7338E" w:rsidRPr="004F3C75">
        <w:rPr>
          <w:sz w:val="24"/>
          <w:szCs w:val="24"/>
          <w:lang w:val="fr-FR"/>
        </w:rPr>
        <w:t xml:space="preserve"> </w:t>
      </w:r>
      <w:r w:rsidR="0064633B" w:rsidRPr="004F3C75">
        <w:rPr>
          <w:sz w:val="24"/>
          <w:szCs w:val="24"/>
          <w:lang w:val="fr-FR"/>
        </w:rPr>
        <w:t xml:space="preserve">TOMASSETTI </w:t>
      </w:r>
      <w:r w:rsidR="00A7338E" w:rsidRPr="004F3C75">
        <w:rPr>
          <w:sz w:val="24"/>
          <w:szCs w:val="24"/>
          <w:lang w:val="fr-FR"/>
        </w:rPr>
        <w:t xml:space="preserve">contre </w:t>
      </w:r>
      <w:r w:rsidR="0064633B" w:rsidRPr="004F3C75">
        <w:rPr>
          <w:sz w:val="24"/>
          <w:szCs w:val="24"/>
          <w:lang w:val="fr-FR"/>
        </w:rPr>
        <w:t>l</w:t>
      </w:r>
      <w:r w:rsidR="00165232">
        <w:rPr>
          <w:sz w:val="24"/>
          <w:szCs w:val="24"/>
          <w:lang w:val="fr-FR"/>
        </w:rPr>
        <w:t>’</w:t>
      </w:r>
      <w:r w:rsidR="0075373F" w:rsidRPr="004F3C75">
        <w:rPr>
          <w:sz w:val="24"/>
          <w:szCs w:val="24"/>
          <w:lang w:val="fr-FR"/>
        </w:rPr>
        <w:t>Italie</w:t>
      </w:r>
      <w:r w:rsidR="0075373F" w:rsidRPr="004F3C75">
        <w:rPr>
          <w:sz w:val="24"/>
          <w:szCs w:val="24"/>
          <w:lang w:val="fr-FR"/>
        </w:rPr>
        <w:br/>
      </w:r>
      <w:r w:rsidRPr="004F3C75">
        <w:rPr>
          <w:sz w:val="24"/>
          <w:szCs w:val="24"/>
          <w:lang w:val="fr-FR"/>
        </w:rPr>
        <w:t xml:space="preserve">et </w:t>
      </w:r>
      <w:r>
        <w:rPr>
          <w:sz w:val="24"/>
          <w:szCs w:val="24"/>
          <w:lang w:val="fr-FR"/>
        </w:rPr>
        <w:t>4</w:t>
      </w:r>
      <w:r w:rsidRPr="004F3C75">
        <w:rPr>
          <w:sz w:val="24"/>
          <w:szCs w:val="24"/>
          <w:lang w:val="fr-FR"/>
        </w:rPr>
        <w:t xml:space="preserve"> autres </w:t>
      </w:r>
      <w:proofErr w:type="gramStart"/>
      <w:r w:rsidRPr="004F3C75">
        <w:rPr>
          <w:sz w:val="24"/>
          <w:szCs w:val="24"/>
          <w:lang w:val="fr-FR"/>
        </w:rPr>
        <w:t>requêtes</w:t>
      </w:r>
      <w:proofErr w:type="gramEnd"/>
      <w:r w:rsidRPr="004F3C75">
        <w:rPr>
          <w:sz w:val="24"/>
          <w:szCs w:val="24"/>
          <w:lang w:val="fr-FR"/>
        </w:rPr>
        <w:br/>
        <w:t>(voir liste en annexe)</w:t>
      </w:r>
    </w:p>
    <w:p w:rsidR="00A71632" w:rsidRPr="00D97B07" w:rsidRDefault="00A71632" w:rsidP="00A71632">
      <w:pPr>
        <w:pStyle w:val="ECHRPara"/>
        <w:rPr>
          <w:lang w:val="fr-FR"/>
        </w:rPr>
      </w:pPr>
      <w:r w:rsidRPr="00D97B07">
        <w:rPr>
          <w:lang w:val="fr-FR"/>
        </w:rPr>
        <w:t>La Cour européenne des droits de l</w:t>
      </w:r>
      <w:r w:rsidR="00165232">
        <w:rPr>
          <w:lang w:val="fr-FR"/>
        </w:rPr>
        <w:t>’</w:t>
      </w:r>
      <w:r w:rsidRPr="00D97B07">
        <w:rPr>
          <w:lang w:val="fr-FR"/>
        </w:rPr>
        <w:t>homme</w:t>
      </w:r>
      <w:r w:rsidR="0064633B" w:rsidRPr="00D97B07">
        <w:rPr>
          <w:lang w:val="fr-FR"/>
        </w:rPr>
        <w:t xml:space="preserve"> (</w:t>
      </w:r>
      <w:r w:rsidR="0064633B">
        <w:rPr>
          <w:lang w:val="fr-FR"/>
        </w:rPr>
        <w:t>quatrième section</w:t>
      </w:r>
      <w:r w:rsidR="0064633B" w:rsidRPr="00D97B07">
        <w:rPr>
          <w:lang w:val="fr-FR"/>
        </w:rPr>
        <w:t>)</w:t>
      </w:r>
      <w:r w:rsidRPr="00D97B07">
        <w:rPr>
          <w:lang w:val="fr-FR"/>
        </w:rPr>
        <w:t xml:space="preserve">, siégeant le </w:t>
      </w:r>
      <w:r w:rsidR="0075373F">
        <w:rPr>
          <w:lang w:val="fr-FR"/>
        </w:rPr>
        <w:t>3 septembre 2015</w:t>
      </w:r>
      <w:r w:rsidRPr="00D97B07">
        <w:rPr>
          <w:lang w:val="fr-FR"/>
        </w:rPr>
        <w:t xml:space="preserve"> en </w:t>
      </w:r>
      <w:r w:rsidR="0064633B" w:rsidRPr="00D97B07">
        <w:rPr>
          <w:lang w:val="fr-FR"/>
        </w:rPr>
        <w:t>un comité composé</w:t>
      </w:r>
      <w:r w:rsidR="0064633B">
        <w:rPr>
          <w:lang w:val="fr-FR"/>
        </w:rPr>
        <w:t xml:space="preserve"> </w:t>
      </w:r>
      <w:r w:rsidRPr="00D97B07">
        <w:rPr>
          <w:lang w:val="fr-FR"/>
        </w:rPr>
        <w:t>de :</w:t>
      </w:r>
    </w:p>
    <w:p w:rsidR="00A71632" w:rsidRPr="00D97B07" w:rsidRDefault="0075373F" w:rsidP="00A71632">
      <w:pPr>
        <w:pStyle w:val="ECHRDecisionBody"/>
        <w:rPr>
          <w:lang w:val="fr-FR"/>
        </w:rPr>
      </w:pPr>
      <w:r w:rsidRPr="0075373F">
        <w:rPr>
          <w:lang w:val="fr-FR"/>
        </w:rPr>
        <w:tab/>
      </w:r>
      <w:proofErr w:type="spellStart"/>
      <w:r w:rsidRPr="0075373F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75373F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75373F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75373F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75373F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75373F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75373F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75373F">
        <w:rPr>
          <w:i/>
          <w:lang w:val="fr-FR"/>
        </w:rPr>
        <w:t xml:space="preserve"> juges</w:t>
      </w:r>
      <w:proofErr w:type="gramStart"/>
      <w:r w:rsidRPr="0075373F">
        <w:rPr>
          <w:i/>
          <w:lang w:val="fr-FR"/>
        </w:rPr>
        <w:t>,</w:t>
      </w:r>
      <w:proofErr w:type="gramEnd"/>
      <w:r w:rsidR="00A71632" w:rsidRPr="00D97B07">
        <w:rPr>
          <w:lang w:val="fr-FR"/>
        </w:rPr>
        <w:br/>
        <w:t xml:space="preserve">et de </w:t>
      </w:r>
      <w:r w:rsidR="000F1621">
        <w:rPr>
          <w:lang w:val="fr-FR"/>
        </w:rPr>
        <w:t>Karen Reid</w:t>
      </w:r>
      <w:r w:rsidR="0064633B" w:rsidRPr="00D97B07">
        <w:rPr>
          <w:lang w:val="fr-FR"/>
        </w:rPr>
        <w:t xml:space="preserve">, </w:t>
      </w:r>
      <w:r w:rsidR="0064633B">
        <w:rPr>
          <w:i/>
          <w:lang w:val="fr-FR"/>
        </w:rPr>
        <w:t>greffière de section</w:t>
      </w:r>
      <w:r w:rsidR="00A71632" w:rsidRPr="00D97B07">
        <w:rPr>
          <w:i/>
          <w:lang w:val="fr-FR"/>
        </w:rPr>
        <w:t>,</w:t>
      </w:r>
    </w:p>
    <w:p w:rsidR="00E41E33" w:rsidRPr="00280E21" w:rsidRDefault="00E41E33" w:rsidP="00E41E33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E41E33" w:rsidRPr="00701AD8" w:rsidRDefault="00E41E33" w:rsidP="00E41E33">
      <w:pPr>
        <w:pStyle w:val="ECHRPara"/>
        <w:rPr>
          <w:lang w:val="fr-FR"/>
        </w:rPr>
      </w:pPr>
      <w:r w:rsidRPr="00280E21">
        <w:rPr>
          <w:lang w:val="fr-FR"/>
        </w:rPr>
        <w:t>Après en avoir délibéré, rend la décision suivante :</w:t>
      </w:r>
    </w:p>
    <w:p w:rsidR="00E41E33" w:rsidRPr="00701AD8" w:rsidRDefault="00E41E33" w:rsidP="00E41E33">
      <w:pPr>
        <w:pStyle w:val="ECHRTitle1"/>
        <w:rPr>
          <w:lang w:val="fr-FR"/>
        </w:rPr>
      </w:pPr>
      <w:r w:rsidRPr="00701AD8">
        <w:rPr>
          <w:lang w:val="fr-FR"/>
        </w:rPr>
        <w:t>FAITS ET PROCÉDURE</w:t>
      </w:r>
    </w:p>
    <w:p w:rsidR="00E41E33" w:rsidRPr="00FF29E4" w:rsidRDefault="00E41E33" w:rsidP="00E41E33">
      <w:pPr>
        <w:pStyle w:val="ECHRPara"/>
        <w:rPr>
          <w:szCs w:val="24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 xml:space="preserve">La liste des parties requérantes figure en </w:t>
      </w:r>
      <w:r w:rsidRPr="00D776EF">
        <w:rPr>
          <w:rFonts w:ascii="Times New Roman" w:eastAsia="Times New Roman" w:hAnsi="Times New Roman" w:cs="Times New Roman"/>
          <w:lang w:val="fr-FR"/>
        </w:rPr>
        <w:t>annexe.</w:t>
      </w:r>
      <w:r w:rsidRPr="00D776EF">
        <w:rPr>
          <w:lang w:val="fr-FR"/>
        </w:rPr>
        <w:t xml:space="preserve"> Elles ont été représentées devant la Cour par </w:t>
      </w:r>
      <w:r w:rsidRPr="006B54C6">
        <w:rPr>
          <w:lang w:val="fr-FR"/>
        </w:rPr>
        <w:t>M</w:t>
      </w:r>
      <w:r w:rsidRPr="006B54C6">
        <w:rPr>
          <w:vertAlign w:val="superscript"/>
          <w:lang w:val="fr-FR"/>
        </w:rPr>
        <w:t>e</w:t>
      </w:r>
      <w:r w:rsidRPr="00D776EF">
        <w:rPr>
          <w:lang w:val="fr-FR"/>
        </w:rPr>
        <w:t xml:space="preserve"> E. </w:t>
      </w:r>
      <w:proofErr w:type="spellStart"/>
      <w:r w:rsidRPr="00D776EF">
        <w:rPr>
          <w:lang w:val="fr-FR"/>
        </w:rPr>
        <w:t>Lizza</w:t>
      </w:r>
      <w:proofErr w:type="spellEnd"/>
      <w:r w:rsidRPr="00D776EF">
        <w:rPr>
          <w:szCs w:val="24"/>
          <w:lang w:val="fr-FR"/>
        </w:rPr>
        <w:t xml:space="preserve">, avocat à </w:t>
      </w:r>
      <w:r w:rsidRPr="00D776EF">
        <w:rPr>
          <w:lang w:val="fr-FR"/>
        </w:rPr>
        <w:t>Rome.</w:t>
      </w:r>
    </w:p>
    <w:p w:rsidR="00E41E33" w:rsidRPr="00012A1F" w:rsidRDefault="00E41E33" w:rsidP="004F3C75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</w:t>
      </w:r>
      <w:proofErr w:type="spellStart"/>
      <w:r w:rsidRPr="00012A1F">
        <w:rPr>
          <w:rFonts w:eastAsia="Times New Roman"/>
          <w:lang w:val="fr-FR"/>
        </w:rPr>
        <w:t>Spatafora</w:t>
      </w:r>
      <w:proofErr w:type="spellEnd"/>
      <w:r w:rsidRPr="00012A1F">
        <w:rPr>
          <w:rFonts w:eastAsia="Times New Roman"/>
          <w:lang w:val="fr-FR"/>
        </w:rPr>
        <w:t xml:space="preserve">, </w:t>
      </w:r>
      <w:r w:rsidRPr="000264D7">
        <w:rPr>
          <w:szCs w:val="24"/>
          <w:lang w:val="fr-FR"/>
        </w:rPr>
        <w:t xml:space="preserve">et son </w:t>
      </w:r>
      <w:proofErr w:type="spellStart"/>
      <w:r w:rsidRPr="000264D7">
        <w:rPr>
          <w:szCs w:val="24"/>
          <w:lang w:val="fr-FR"/>
        </w:rPr>
        <w:t>coagent</w:t>
      </w:r>
      <w:proofErr w:type="spellEnd"/>
      <w:r w:rsidRPr="000264D7">
        <w:rPr>
          <w:szCs w:val="24"/>
          <w:lang w:val="fr-FR"/>
        </w:rPr>
        <w:t xml:space="preserve">, </w:t>
      </w:r>
      <w:r w:rsidRPr="009E442C">
        <w:rPr>
          <w:szCs w:val="24"/>
          <w:lang w:val="fr-FR"/>
        </w:rPr>
        <w:t xml:space="preserve">M. G. Mauro </w:t>
      </w:r>
      <w:proofErr w:type="spellStart"/>
      <w:r w:rsidRPr="009E442C">
        <w:rPr>
          <w:szCs w:val="24"/>
          <w:lang w:val="fr-FR"/>
        </w:rPr>
        <w:t>Pellegrini</w:t>
      </w:r>
      <w:proofErr w:type="spellEnd"/>
      <w:r w:rsidRPr="009E442C">
        <w:rPr>
          <w:szCs w:val="24"/>
          <w:lang w:val="fr-FR"/>
        </w:rPr>
        <w:t>.</w:t>
      </w:r>
    </w:p>
    <w:p w:rsidR="00E41E33" w:rsidRDefault="00E41E33" w:rsidP="004F3C75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Invoquant l</w:t>
      </w:r>
      <w:r w:rsidR="00165232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6 § 1 de la Convention ainsi que l</w:t>
      </w:r>
      <w:r w:rsidR="00165232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1 du Protocole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 1, les requérants se </w:t>
      </w:r>
      <w:r>
        <w:rPr>
          <w:rFonts w:eastAsia="Times New Roman"/>
          <w:lang w:val="fr-FR"/>
        </w:rPr>
        <w:t>plaignaient</w:t>
      </w:r>
      <w:r w:rsidRPr="00012A1F">
        <w:rPr>
          <w:rFonts w:eastAsia="Times New Roman"/>
          <w:lang w:val="fr-FR"/>
        </w:rPr>
        <w:t xml:space="preserve"> de la durée des procédures « Pinto » et du retard dans l</w:t>
      </w:r>
      <w:r w:rsidR="00165232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exécution ou bien de la non-exécution de </w:t>
      </w:r>
      <w:r w:rsidRPr="00F1564B">
        <w:rPr>
          <w:rFonts w:eastAsia="Times New Roman"/>
          <w:lang w:val="fr-FR"/>
        </w:rPr>
        <w:t>décisions « Pinto ».</w:t>
      </w:r>
    </w:p>
    <w:p w:rsidR="00E41E33" w:rsidRDefault="00E41E33" w:rsidP="00E41E33">
      <w:pPr>
        <w:pStyle w:val="ECHRPara"/>
        <w:rPr>
          <w:lang w:val="fr-FR"/>
        </w:rPr>
      </w:pPr>
      <w:r w:rsidRPr="00F1564B">
        <w:rPr>
          <w:rFonts w:ascii="Times New Roman" w:eastAsia="Times New Roman" w:hAnsi="Times New Roman" w:cs="Times New Roman"/>
          <w:lang w:val="fr-FR"/>
        </w:rPr>
        <w:t>Le 18 novembre 2014, le Gouvernement a fait parvenir à la Cour les déclarations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d</w:t>
      </w:r>
      <w:r w:rsidR="00165232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165232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octroi de la somme forfaitaire de 200</w:t>
      </w:r>
      <w:r w:rsidR="00A238A7">
        <w:rPr>
          <w:rFonts w:ascii="Times New Roman" w:eastAsia="Times New Roman" w:hAnsi="Times New Roman" w:cs="Times New Roman"/>
          <w:lang w:val="fr-FR"/>
        </w:rPr>
        <w:t> 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EUR à titre de dommage moral découlant des violations dénoncées, en </w:t>
      </w:r>
      <w:r w:rsidRPr="00012A1F">
        <w:rPr>
          <w:rFonts w:ascii="Times New Roman" w:eastAsia="Times New Roman" w:hAnsi="Times New Roman" w:cs="Times New Roman"/>
          <w:lang w:val="fr-FR"/>
        </w:rPr>
        <w:lastRenderedPageBreak/>
        <w:t xml:space="preserve">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165232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165232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E41E33" w:rsidRPr="00701AD8" w:rsidRDefault="00E41E33" w:rsidP="00E41E33">
      <w:pPr>
        <w:pStyle w:val="ECHRTitle1"/>
        <w:rPr>
          <w:lang w:val="fr-FR"/>
        </w:rPr>
      </w:pPr>
      <w:r w:rsidRPr="00701AD8">
        <w:rPr>
          <w:lang w:val="fr-FR"/>
        </w:rPr>
        <w:t>EN DROIT</w:t>
      </w:r>
    </w:p>
    <w:p w:rsidR="00E41E33" w:rsidRPr="00012A1F" w:rsidRDefault="00E41E33" w:rsidP="004F3C75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eastAsia="Times New Roman"/>
          <w:bCs/>
          <w:i/>
          <w:lang w:val="fr-FR"/>
        </w:rPr>
        <w:t>Loffredo</w:t>
      </w:r>
      <w:proofErr w:type="spellEnd"/>
      <w:r w:rsidRPr="00012A1F">
        <w:rPr>
          <w:rFonts w:eastAsia="Times New Roman"/>
          <w:bCs/>
          <w:i/>
          <w:lang w:val="fr-FR"/>
        </w:rPr>
        <w:t xml:space="preserve">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proofErr w:type="spellStart"/>
      <w:r w:rsidRPr="00012A1F">
        <w:rPr>
          <w:rFonts w:eastAsia="Times New Roman"/>
          <w:i/>
          <w:lang w:val="fr-FR"/>
        </w:rPr>
        <w:t>Recano</w:t>
      </w:r>
      <w:proofErr w:type="spellEnd"/>
      <w:r w:rsidRPr="00012A1F">
        <w:rPr>
          <w:rFonts w:eastAsia="Times New Roman"/>
          <w:i/>
          <w:lang w:val="fr-FR"/>
        </w:rPr>
        <w:t xml:space="preserve">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E41E33" w:rsidRDefault="00E41E33" w:rsidP="00E41E33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165232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165232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E41E33" w:rsidRPr="00B84C09" w:rsidRDefault="00E41E33" w:rsidP="00E41E33">
      <w:pPr>
        <w:pStyle w:val="DecList"/>
        <w:rPr>
          <w:lang w:val="fr-FR"/>
        </w:rPr>
      </w:pPr>
      <w:r w:rsidRPr="00B84C09">
        <w:rPr>
          <w:lang w:val="fr-FR"/>
        </w:rPr>
        <w:t>Par ces motifs, la Cour, à l</w:t>
      </w:r>
      <w:r w:rsidR="00165232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E41E33" w:rsidRDefault="00E41E33" w:rsidP="00165232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E41E33" w:rsidRDefault="00E41E33" w:rsidP="00165232">
      <w:pPr>
        <w:pStyle w:val="DecList"/>
        <w:rPr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lang w:val="fr-FR"/>
        </w:rPr>
        <w:t>.</w:t>
      </w:r>
    </w:p>
    <w:p w:rsidR="0075373F" w:rsidRPr="003235E5" w:rsidRDefault="0075373F" w:rsidP="0075373F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24 septembre</w:t>
      </w:r>
      <w:r w:rsidRPr="003235E5">
        <w:rPr>
          <w:lang w:val="fr-FR"/>
        </w:rPr>
        <w:t xml:space="preserve"> 2015.</w:t>
      </w:r>
    </w:p>
    <w:p w:rsidR="0064633B" w:rsidRPr="00D97B07" w:rsidRDefault="00E41E33" w:rsidP="0075373F">
      <w:pPr>
        <w:pStyle w:val="JuSigned"/>
        <w:rPr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  <w:r w:rsidR="0064633B" w:rsidRPr="00D97B07">
        <w:rPr>
          <w:lang w:val="fr-FR"/>
        </w:rPr>
        <w:br w:type="page"/>
      </w:r>
    </w:p>
    <w:p w:rsidR="0064633B" w:rsidRPr="00A238A7" w:rsidRDefault="00A238A7" w:rsidP="00404F6E">
      <w:pPr>
        <w:pStyle w:val="JuTitl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br/>
      </w:r>
      <w:r w:rsidR="0064633B" w:rsidRPr="00A238A7">
        <w:rPr>
          <w:sz w:val="28"/>
          <w:szCs w:val="28"/>
          <w:lang w:val="fr-FR"/>
        </w:rPr>
        <w:t>ANNEXE</w:t>
      </w:r>
    </w:p>
    <w:p w:rsidR="00A71632" w:rsidRPr="00D97B07" w:rsidRDefault="00A71632" w:rsidP="00A71632">
      <w:pPr>
        <w:rPr>
          <w:lang w:val="fr-FR"/>
        </w:rPr>
      </w:pPr>
    </w:p>
    <w:p w:rsidR="00E41E33" w:rsidRPr="00A238A7" w:rsidRDefault="00E41E33" w:rsidP="00E41E33">
      <w:pPr>
        <w:rPr>
          <w:lang w:val="fr-FR"/>
        </w:rPr>
      </w:pPr>
    </w:p>
    <w:tbl>
      <w:tblPr>
        <w:tblStyle w:val="ECHRListTable"/>
        <w:tblW w:w="5990" w:type="pct"/>
        <w:tblInd w:w="-743" w:type="dxa"/>
        <w:tblLook w:val="05E0" w:firstRow="1" w:lastRow="1" w:firstColumn="1" w:lastColumn="1" w:noHBand="0" w:noVBand="1"/>
      </w:tblPr>
      <w:tblGrid>
        <w:gridCol w:w="500"/>
        <w:gridCol w:w="1485"/>
        <w:gridCol w:w="1559"/>
        <w:gridCol w:w="3686"/>
        <w:gridCol w:w="1844"/>
      </w:tblGrid>
      <w:tr w:rsidR="00A238A7" w:rsidRPr="00A238A7" w:rsidTr="00A23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" w:type="pct"/>
            <w:vAlign w:val="center"/>
          </w:tcPr>
          <w:p w:rsidR="00E41E33" w:rsidRPr="00A238A7" w:rsidRDefault="00E41E33" w:rsidP="00A238A7">
            <w:pPr>
              <w:jc w:val="center"/>
              <w:rPr>
                <w:lang w:val="fr-FR"/>
              </w:rPr>
            </w:pPr>
            <w:bookmarkStart w:id="1" w:name="TableStart"/>
            <w:bookmarkEnd w:id="1"/>
            <w:r w:rsidRPr="00A238A7">
              <w:rPr>
                <w:lang w:val="fr-FR"/>
              </w:rPr>
              <w:t>N</w:t>
            </w:r>
            <w:r w:rsidR="00165232" w:rsidRPr="00165232">
              <w:rPr>
                <w:vertAlign w:val="superscript"/>
                <w:lang w:val="fr-FR"/>
              </w:rPr>
              <w:t>o</w:t>
            </w:r>
          </w:p>
        </w:tc>
        <w:tc>
          <w:tcPr>
            <w:tcW w:w="818" w:type="pct"/>
            <w:vAlign w:val="center"/>
          </w:tcPr>
          <w:p w:rsidR="00E41E33" w:rsidRPr="00A238A7" w:rsidRDefault="00E41E33" w:rsidP="00A238A7">
            <w:pPr>
              <w:jc w:val="center"/>
              <w:rPr>
                <w:lang w:val="fr-FR"/>
              </w:rPr>
            </w:pPr>
            <w:r w:rsidRPr="00A238A7">
              <w:rPr>
                <w:lang w:val="fr-FR"/>
              </w:rPr>
              <w:t>Requête N</w:t>
            </w:r>
            <w:r w:rsidR="00165232" w:rsidRPr="00165232">
              <w:rPr>
                <w:vertAlign w:val="superscript"/>
                <w:lang w:val="fr-FR"/>
              </w:rPr>
              <w:t>o</w:t>
            </w:r>
          </w:p>
        </w:tc>
        <w:tc>
          <w:tcPr>
            <w:tcW w:w="859" w:type="pct"/>
            <w:vAlign w:val="center"/>
          </w:tcPr>
          <w:p w:rsidR="00E41E33" w:rsidRPr="00A238A7" w:rsidRDefault="00E41E33" w:rsidP="00A238A7">
            <w:pPr>
              <w:jc w:val="center"/>
              <w:rPr>
                <w:lang w:val="fr-FR"/>
              </w:rPr>
            </w:pPr>
            <w:r w:rsidRPr="00A238A7">
              <w:rPr>
                <w:lang w:val="fr-FR"/>
              </w:rPr>
              <w:t>Introduite le</w:t>
            </w:r>
          </w:p>
        </w:tc>
        <w:tc>
          <w:tcPr>
            <w:tcW w:w="2031" w:type="pct"/>
            <w:vAlign w:val="center"/>
          </w:tcPr>
          <w:p w:rsidR="00E41E33" w:rsidRPr="00E41E33" w:rsidRDefault="00E41E33" w:rsidP="00A238A7">
            <w:pPr>
              <w:jc w:val="center"/>
              <w:rPr>
                <w:lang w:val="fr-FR"/>
              </w:rPr>
            </w:pPr>
            <w:r w:rsidRPr="00E41E33">
              <w:rPr>
                <w:lang w:val="fr-FR"/>
              </w:rPr>
              <w:t>Requérant</w:t>
            </w:r>
          </w:p>
          <w:p w:rsidR="00E41E33" w:rsidRPr="00E41E33" w:rsidRDefault="00E41E33" w:rsidP="00A238A7">
            <w:pPr>
              <w:jc w:val="center"/>
              <w:rPr>
                <w:lang w:val="fr-FR"/>
              </w:rPr>
            </w:pPr>
            <w:r w:rsidRPr="00E41E33">
              <w:rPr>
                <w:lang w:val="fr-FR"/>
              </w:rPr>
              <w:t>Date de naissance</w:t>
            </w:r>
          </w:p>
          <w:p w:rsidR="00E41E33" w:rsidRPr="00E41E33" w:rsidRDefault="00E41E33" w:rsidP="00A238A7">
            <w:pPr>
              <w:jc w:val="center"/>
              <w:rPr>
                <w:lang w:val="fr-FR"/>
              </w:rPr>
            </w:pPr>
            <w:r w:rsidRPr="00E41E33">
              <w:rPr>
                <w:lang w:val="fr-FR"/>
              </w:rPr>
              <w:t>Lieu de résidence</w:t>
            </w:r>
          </w:p>
        </w:tc>
        <w:tc>
          <w:tcPr>
            <w:tcW w:w="1016" w:type="pct"/>
            <w:vAlign w:val="center"/>
          </w:tcPr>
          <w:p w:rsidR="00E41E33" w:rsidRPr="00A238A7" w:rsidRDefault="00E41E33" w:rsidP="00A238A7">
            <w:pPr>
              <w:jc w:val="center"/>
              <w:rPr>
                <w:lang w:val="fr-FR"/>
              </w:rPr>
            </w:pPr>
            <w:r w:rsidRPr="00A238A7">
              <w:rPr>
                <w:lang w:val="fr-FR"/>
              </w:rPr>
              <w:t>Représenté par</w:t>
            </w:r>
          </w:p>
        </w:tc>
      </w:tr>
      <w:tr w:rsidR="00A238A7" w:rsidTr="00A238A7">
        <w:tc>
          <w:tcPr>
            <w:tcW w:w="276" w:type="pct"/>
            <w:vAlign w:val="center"/>
          </w:tcPr>
          <w:p w:rsidR="00E41E33" w:rsidRPr="00A238A7" w:rsidRDefault="00E41E33" w:rsidP="00A238A7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818" w:type="pct"/>
            <w:vAlign w:val="center"/>
          </w:tcPr>
          <w:p w:rsidR="00E41E33" w:rsidRPr="00A238A7" w:rsidRDefault="00E41E33" w:rsidP="00A238A7">
            <w:pPr>
              <w:jc w:val="center"/>
              <w:rPr>
                <w:lang w:val="fr-FR"/>
              </w:rPr>
            </w:pPr>
            <w:r w:rsidRPr="00A238A7">
              <w:rPr>
                <w:lang w:val="fr-FR"/>
              </w:rPr>
              <w:t>1258/11</w:t>
            </w:r>
          </w:p>
        </w:tc>
        <w:tc>
          <w:tcPr>
            <w:tcW w:w="859" w:type="pct"/>
            <w:vAlign w:val="center"/>
          </w:tcPr>
          <w:p w:rsidR="00E41E33" w:rsidRPr="00A238A7" w:rsidRDefault="00E41E33" w:rsidP="00A238A7">
            <w:pPr>
              <w:jc w:val="center"/>
              <w:rPr>
                <w:lang w:val="fr-FR"/>
              </w:rPr>
            </w:pPr>
            <w:r w:rsidRPr="00A238A7">
              <w:rPr>
                <w:lang w:val="fr-FR"/>
              </w:rPr>
              <w:t>21/12/2010</w:t>
            </w:r>
          </w:p>
        </w:tc>
        <w:tc>
          <w:tcPr>
            <w:tcW w:w="2031" w:type="pct"/>
            <w:vAlign w:val="center"/>
          </w:tcPr>
          <w:p w:rsidR="00E41E33" w:rsidRDefault="00E41E33" w:rsidP="00A238A7">
            <w:pPr>
              <w:jc w:val="center"/>
              <w:rPr>
                <w:b/>
              </w:rPr>
            </w:pPr>
            <w:r w:rsidRPr="00A238A7">
              <w:rPr>
                <w:b/>
                <w:lang w:val="fr-FR"/>
              </w:rPr>
              <w:t>Antonio TOMASSE</w:t>
            </w:r>
            <w:r>
              <w:rPr>
                <w:b/>
              </w:rPr>
              <w:t>TTI</w:t>
            </w:r>
          </w:p>
          <w:p w:rsidR="00E41E33" w:rsidRDefault="00E41E33" w:rsidP="00A238A7">
            <w:pPr>
              <w:jc w:val="center"/>
            </w:pPr>
            <w:r>
              <w:t>18/08/1951</w:t>
            </w:r>
          </w:p>
          <w:p w:rsidR="00E41E33" w:rsidRPr="000A011C" w:rsidRDefault="00E41E33" w:rsidP="00A238A7">
            <w:pPr>
              <w:jc w:val="center"/>
            </w:pPr>
            <w:proofErr w:type="spellStart"/>
            <w:r>
              <w:t>Cittaducale</w:t>
            </w:r>
            <w:proofErr w:type="spellEnd"/>
          </w:p>
        </w:tc>
        <w:tc>
          <w:tcPr>
            <w:tcW w:w="1016" w:type="pct"/>
            <w:vAlign w:val="center"/>
          </w:tcPr>
          <w:p w:rsidR="00E41E33" w:rsidRDefault="00E41E33" w:rsidP="00A238A7">
            <w:pPr>
              <w:jc w:val="center"/>
            </w:pPr>
            <w:proofErr w:type="spellStart"/>
            <w:r>
              <w:t>Egidio</w:t>
            </w:r>
            <w:proofErr w:type="spellEnd"/>
            <w:r>
              <w:t xml:space="preserve"> LIZZA</w:t>
            </w:r>
          </w:p>
        </w:tc>
      </w:tr>
      <w:tr w:rsidR="00A238A7" w:rsidTr="00A238A7">
        <w:tc>
          <w:tcPr>
            <w:tcW w:w="276" w:type="pct"/>
            <w:vAlign w:val="center"/>
          </w:tcPr>
          <w:p w:rsidR="00E41E33" w:rsidRDefault="00E41E33" w:rsidP="00A238A7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818" w:type="pct"/>
            <w:vAlign w:val="center"/>
          </w:tcPr>
          <w:p w:rsidR="00E41E33" w:rsidRDefault="00E41E33" w:rsidP="00A238A7">
            <w:pPr>
              <w:jc w:val="center"/>
            </w:pPr>
            <w:r>
              <w:t>35370/11</w:t>
            </w:r>
          </w:p>
        </w:tc>
        <w:tc>
          <w:tcPr>
            <w:tcW w:w="859" w:type="pct"/>
            <w:vAlign w:val="center"/>
          </w:tcPr>
          <w:p w:rsidR="00E41E33" w:rsidRDefault="00E41E33" w:rsidP="00A238A7">
            <w:pPr>
              <w:jc w:val="center"/>
            </w:pPr>
            <w:r>
              <w:t>19/01/2011</w:t>
            </w:r>
          </w:p>
        </w:tc>
        <w:tc>
          <w:tcPr>
            <w:tcW w:w="2031" w:type="pct"/>
            <w:vAlign w:val="center"/>
          </w:tcPr>
          <w:p w:rsidR="00E41E33" w:rsidRDefault="00E41E33" w:rsidP="00A238A7">
            <w:pPr>
              <w:jc w:val="center"/>
              <w:rPr>
                <w:b/>
              </w:rPr>
            </w:pPr>
            <w:r>
              <w:rPr>
                <w:b/>
              </w:rPr>
              <w:t>Agostino GAGLIANONE</w:t>
            </w:r>
          </w:p>
          <w:p w:rsidR="00E41E33" w:rsidRDefault="00E41E33" w:rsidP="00A238A7">
            <w:pPr>
              <w:jc w:val="center"/>
            </w:pPr>
            <w:r>
              <w:t>29/07/1958</w:t>
            </w:r>
          </w:p>
          <w:p w:rsidR="00E41E33" w:rsidRPr="000A011C" w:rsidRDefault="00E41E33" w:rsidP="00A238A7">
            <w:pPr>
              <w:jc w:val="center"/>
            </w:pPr>
            <w:proofErr w:type="spellStart"/>
            <w:r>
              <w:t>Sacrofano</w:t>
            </w:r>
            <w:proofErr w:type="spellEnd"/>
          </w:p>
        </w:tc>
        <w:tc>
          <w:tcPr>
            <w:tcW w:w="1016" w:type="pct"/>
            <w:vAlign w:val="center"/>
          </w:tcPr>
          <w:p w:rsidR="00E41E33" w:rsidRDefault="00E41E33" w:rsidP="00A238A7">
            <w:pPr>
              <w:jc w:val="center"/>
            </w:pPr>
            <w:proofErr w:type="spellStart"/>
            <w:r>
              <w:t>Egidio</w:t>
            </w:r>
            <w:proofErr w:type="spellEnd"/>
            <w:r>
              <w:t xml:space="preserve"> LIZZA</w:t>
            </w:r>
          </w:p>
        </w:tc>
      </w:tr>
      <w:tr w:rsidR="00A238A7" w:rsidTr="00A238A7">
        <w:tc>
          <w:tcPr>
            <w:tcW w:w="276" w:type="pct"/>
            <w:vAlign w:val="center"/>
          </w:tcPr>
          <w:p w:rsidR="00E41E33" w:rsidRDefault="00E41E33" w:rsidP="00A238A7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818" w:type="pct"/>
            <w:vAlign w:val="center"/>
          </w:tcPr>
          <w:p w:rsidR="00E41E33" w:rsidRDefault="00E41E33" w:rsidP="00A238A7">
            <w:pPr>
              <w:jc w:val="center"/>
            </w:pPr>
            <w:r>
              <w:t>35378/11</w:t>
            </w:r>
          </w:p>
        </w:tc>
        <w:tc>
          <w:tcPr>
            <w:tcW w:w="859" w:type="pct"/>
            <w:vAlign w:val="center"/>
          </w:tcPr>
          <w:p w:rsidR="00E41E33" w:rsidRDefault="00E41E33" w:rsidP="00A238A7">
            <w:pPr>
              <w:jc w:val="center"/>
            </w:pPr>
            <w:r>
              <w:t>30/12/2010</w:t>
            </w:r>
          </w:p>
        </w:tc>
        <w:tc>
          <w:tcPr>
            <w:tcW w:w="2031" w:type="pct"/>
            <w:vAlign w:val="center"/>
          </w:tcPr>
          <w:p w:rsidR="00E41E33" w:rsidRDefault="00E41E33" w:rsidP="00A238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Oliviero</w:t>
            </w:r>
            <w:proofErr w:type="spellEnd"/>
            <w:r>
              <w:rPr>
                <w:b/>
              </w:rPr>
              <w:t xml:space="preserve"> ANGIONI</w:t>
            </w:r>
          </w:p>
          <w:p w:rsidR="00E41E33" w:rsidRDefault="00E41E33" w:rsidP="00A238A7">
            <w:pPr>
              <w:jc w:val="center"/>
            </w:pPr>
            <w:r>
              <w:t>24/02/1941</w:t>
            </w:r>
          </w:p>
          <w:p w:rsidR="00E41E33" w:rsidRPr="000A011C" w:rsidRDefault="00E41E33" w:rsidP="00A238A7">
            <w:pPr>
              <w:jc w:val="center"/>
            </w:pPr>
            <w:proofErr w:type="spellStart"/>
            <w:r>
              <w:t>Sacrofano</w:t>
            </w:r>
            <w:proofErr w:type="spellEnd"/>
          </w:p>
        </w:tc>
        <w:tc>
          <w:tcPr>
            <w:tcW w:w="1016" w:type="pct"/>
            <w:vAlign w:val="center"/>
          </w:tcPr>
          <w:p w:rsidR="00E41E33" w:rsidRDefault="00E41E33" w:rsidP="00A238A7">
            <w:pPr>
              <w:jc w:val="center"/>
            </w:pPr>
            <w:proofErr w:type="spellStart"/>
            <w:r>
              <w:t>Egidio</w:t>
            </w:r>
            <w:proofErr w:type="spellEnd"/>
            <w:r>
              <w:t xml:space="preserve"> LIZZA</w:t>
            </w:r>
          </w:p>
        </w:tc>
      </w:tr>
      <w:tr w:rsidR="00A238A7" w:rsidTr="00A238A7">
        <w:tc>
          <w:tcPr>
            <w:tcW w:w="276" w:type="pct"/>
            <w:vAlign w:val="center"/>
          </w:tcPr>
          <w:p w:rsidR="00E41E33" w:rsidRDefault="00E41E33" w:rsidP="00A238A7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818" w:type="pct"/>
            <w:vAlign w:val="center"/>
          </w:tcPr>
          <w:p w:rsidR="00E41E33" w:rsidRDefault="00E41E33" w:rsidP="00A238A7">
            <w:pPr>
              <w:jc w:val="center"/>
            </w:pPr>
            <w:r>
              <w:t>55248/11</w:t>
            </w:r>
          </w:p>
        </w:tc>
        <w:tc>
          <w:tcPr>
            <w:tcW w:w="859" w:type="pct"/>
            <w:vAlign w:val="center"/>
          </w:tcPr>
          <w:p w:rsidR="00E41E33" w:rsidRDefault="00E41E33" w:rsidP="00A238A7">
            <w:pPr>
              <w:jc w:val="center"/>
            </w:pPr>
            <w:r>
              <w:t>17/06/2011</w:t>
            </w:r>
          </w:p>
        </w:tc>
        <w:tc>
          <w:tcPr>
            <w:tcW w:w="2031" w:type="pct"/>
            <w:vAlign w:val="center"/>
          </w:tcPr>
          <w:p w:rsidR="00E41E33" w:rsidRDefault="00E41E33" w:rsidP="00A238A7">
            <w:pPr>
              <w:jc w:val="center"/>
              <w:rPr>
                <w:b/>
              </w:rPr>
            </w:pPr>
            <w:r>
              <w:rPr>
                <w:b/>
              </w:rPr>
              <w:t>Giuseppe GAGLIANONE</w:t>
            </w:r>
          </w:p>
          <w:p w:rsidR="00E41E33" w:rsidRDefault="00E41E33" w:rsidP="00A238A7">
            <w:pPr>
              <w:jc w:val="center"/>
            </w:pPr>
            <w:r>
              <w:t>03/05/1956</w:t>
            </w:r>
          </w:p>
          <w:p w:rsidR="00E41E33" w:rsidRPr="000A011C" w:rsidRDefault="00E41E33" w:rsidP="00A238A7">
            <w:pPr>
              <w:jc w:val="center"/>
            </w:pPr>
            <w:proofErr w:type="spellStart"/>
            <w:r>
              <w:t>Sacrofano</w:t>
            </w:r>
            <w:proofErr w:type="spellEnd"/>
          </w:p>
        </w:tc>
        <w:tc>
          <w:tcPr>
            <w:tcW w:w="1016" w:type="pct"/>
            <w:vAlign w:val="center"/>
          </w:tcPr>
          <w:p w:rsidR="00E41E33" w:rsidRDefault="00E41E33" w:rsidP="00A238A7">
            <w:pPr>
              <w:jc w:val="center"/>
            </w:pPr>
            <w:proofErr w:type="spellStart"/>
            <w:r>
              <w:t>Egidio</w:t>
            </w:r>
            <w:proofErr w:type="spellEnd"/>
            <w:r>
              <w:t xml:space="preserve"> LIZZA</w:t>
            </w:r>
          </w:p>
        </w:tc>
      </w:tr>
      <w:tr w:rsidR="00A238A7" w:rsidTr="00A238A7">
        <w:tc>
          <w:tcPr>
            <w:tcW w:w="276" w:type="pct"/>
            <w:vAlign w:val="center"/>
          </w:tcPr>
          <w:p w:rsidR="00E41E33" w:rsidRDefault="00E41E33" w:rsidP="00A238A7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818" w:type="pct"/>
            <w:vAlign w:val="center"/>
          </w:tcPr>
          <w:p w:rsidR="00E41E33" w:rsidRDefault="00E41E33" w:rsidP="00A238A7">
            <w:pPr>
              <w:jc w:val="center"/>
            </w:pPr>
            <w:r>
              <w:t>78140/11</w:t>
            </w:r>
          </w:p>
        </w:tc>
        <w:tc>
          <w:tcPr>
            <w:tcW w:w="859" w:type="pct"/>
            <w:vAlign w:val="center"/>
          </w:tcPr>
          <w:p w:rsidR="00E41E33" w:rsidRDefault="00E41E33" w:rsidP="00A238A7">
            <w:pPr>
              <w:jc w:val="center"/>
            </w:pPr>
            <w:r>
              <w:t>27/10/2011</w:t>
            </w:r>
          </w:p>
        </w:tc>
        <w:tc>
          <w:tcPr>
            <w:tcW w:w="2031" w:type="pct"/>
            <w:vAlign w:val="center"/>
          </w:tcPr>
          <w:p w:rsidR="00E41E33" w:rsidRDefault="00E41E33" w:rsidP="00A238A7">
            <w:pPr>
              <w:jc w:val="center"/>
              <w:rPr>
                <w:b/>
              </w:rPr>
            </w:pPr>
            <w:r>
              <w:rPr>
                <w:b/>
              </w:rPr>
              <w:t>Romeo Giuliano LELLI</w:t>
            </w:r>
          </w:p>
          <w:p w:rsidR="00E41E33" w:rsidRDefault="00E41E33" w:rsidP="00A238A7">
            <w:pPr>
              <w:jc w:val="center"/>
            </w:pPr>
            <w:r>
              <w:t>16/02/1956</w:t>
            </w:r>
          </w:p>
          <w:p w:rsidR="00E41E33" w:rsidRPr="000A011C" w:rsidRDefault="00E41E33" w:rsidP="00A238A7">
            <w:pPr>
              <w:jc w:val="center"/>
            </w:pPr>
            <w:proofErr w:type="spellStart"/>
            <w:r>
              <w:t>Gallese</w:t>
            </w:r>
            <w:proofErr w:type="spellEnd"/>
          </w:p>
        </w:tc>
        <w:tc>
          <w:tcPr>
            <w:tcW w:w="1016" w:type="pct"/>
            <w:vAlign w:val="center"/>
          </w:tcPr>
          <w:p w:rsidR="00E41E33" w:rsidRDefault="00E41E33" w:rsidP="00A238A7">
            <w:pPr>
              <w:jc w:val="center"/>
            </w:pPr>
            <w:proofErr w:type="spellStart"/>
            <w:r>
              <w:t>Egidio</w:t>
            </w:r>
            <w:proofErr w:type="spellEnd"/>
            <w:r>
              <w:t xml:space="preserve"> LIZZA</w:t>
            </w:r>
            <w:bookmarkStart w:id="2" w:name="TableEnd"/>
            <w:bookmarkEnd w:id="2"/>
          </w:p>
        </w:tc>
      </w:tr>
    </w:tbl>
    <w:p w:rsidR="00E41E33" w:rsidRPr="00691F3D" w:rsidRDefault="00E41E33" w:rsidP="00E41E33"/>
    <w:sectPr w:rsidR="00E41E33" w:rsidRPr="00691F3D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5D" w:rsidRDefault="0032465D" w:rsidP="00DF4559">
      <w:r>
        <w:separator/>
      </w:r>
    </w:p>
  </w:endnote>
  <w:endnote w:type="continuationSeparator" w:id="0">
    <w:p w:rsidR="0032465D" w:rsidRDefault="0032465D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3B" w:rsidRPr="00150BFA" w:rsidRDefault="0064633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0E0D56A" wp14:editId="3C682284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5D" w:rsidRDefault="0032465D" w:rsidP="00DF4559">
      <w:r>
        <w:separator/>
      </w:r>
    </w:p>
  </w:footnote>
  <w:footnote w:type="continuationSeparator" w:id="0">
    <w:p w:rsidR="0032465D" w:rsidRDefault="0032465D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64633B" w:rsidRDefault="0064633B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4633B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5260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64633B">
      <w:rPr>
        <w:lang w:val="fr-FR"/>
      </w:rPr>
      <w:tab/>
    </w:r>
    <w:r w:rsidR="002C11C3" w:rsidRPr="009432BE">
      <w:rPr>
        <w:lang w:val="fr-FR"/>
      </w:rPr>
      <w:t xml:space="preserve">DÉCISION </w:t>
    </w:r>
    <w:r w:rsidR="002C11C3">
      <w:rPr>
        <w:lang w:val="fr-FR"/>
      </w:rPr>
      <w:t>TOMASSETTI</w:t>
    </w:r>
    <w:r w:rsidR="002C11C3" w:rsidRPr="009432BE">
      <w:rPr>
        <w:lang w:val="fr-FR"/>
      </w:rPr>
      <w:t xml:space="preserve"> c. ITALIE ET AUTRES </w:t>
    </w:r>
    <w:r w:rsidR="002C11C3">
      <w:rPr>
        <w:lang w:val="fr-FR"/>
      </w:rPr>
      <w:t>REQU</w:t>
    </w:r>
    <w:r w:rsidR="002C11C3">
      <w:rPr>
        <w:rFonts w:cstheme="minorHAnsi"/>
        <w:lang w:val="fr-FR"/>
      </w:rPr>
      <w:t>Ê</w:t>
    </w:r>
    <w:r w:rsidR="002C11C3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64633B" w:rsidRDefault="00023AD3" w:rsidP="00404F6E">
    <w:pPr>
      <w:pStyle w:val="ECHRHeader"/>
      <w:rPr>
        <w:lang w:val="fr-FR"/>
      </w:rPr>
    </w:pPr>
    <w:r>
      <w:tab/>
    </w:r>
    <w:r w:rsidR="002C11C3" w:rsidRPr="009432BE">
      <w:rPr>
        <w:lang w:val="fr-FR"/>
      </w:rPr>
      <w:t xml:space="preserve">DÉCISION </w:t>
    </w:r>
    <w:r w:rsidR="002C11C3">
      <w:rPr>
        <w:lang w:val="fr-FR"/>
      </w:rPr>
      <w:t>TOMASSETTI</w:t>
    </w:r>
    <w:r w:rsidR="002C11C3" w:rsidRPr="009432BE">
      <w:rPr>
        <w:lang w:val="fr-FR"/>
      </w:rPr>
      <w:t xml:space="preserve"> c. ITALIE ET AUTRES </w:t>
    </w:r>
    <w:r w:rsidR="002C11C3">
      <w:rPr>
        <w:lang w:val="fr-FR"/>
      </w:rPr>
      <w:t>REQU</w:t>
    </w:r>
    <w:r w:rsidR="002C11C3">
      <w:rPr>
        <w:rFonts w:cstheme="minorHAnsi"/>
        <w:lang w:val="fr-FR"/>
      </w:rPr>
      <w:t>Ê</w:t>
    </w:r>
    <w:r w:rsidR="002C11C3">
      <w:rPr>
        <w:lang w:val="fr-FR"/>
      </w:rPr>
      <w:t>TES</w:t>
    </w:r>
    <w:r w:rsidRPr="0064633B">
      <w:rPr>
        <w:lang w:val="fr-FR"/>
      </w:rPr>
      <w:tab/>
    </w:r>
    <w:r w:rsidR="0064633B">
      <w:rPr>
        <w:rStyle w:val="Numeropagina"/>
        <w:lang w:val="en-GB"/>
      </w:rPr>
      <w:fldChar w:fldCharType="begin"/>
    </w:r>
    <w:r w:rsidR="0064633B" w:rsidRPr="0064633B">
      <w:rPr>
        <w:rStyle w:val="Numeropagina"/>
        <w:lang w:val="fr-FR"/>
      </w:rPr>
      <w:instrText xml:space="preserve"> PAGE </w:instrText>
    </w:r>
    <w:r w:rsidR="0064633B">
      <w:rPr>
        <w:rStyle w:val="Numeropagina"/>
        <w:lang w:val="en-GB"/>
      </w:rPr>
      <w:fldChar w:fldCharType="separate"/>
    </w:r>
    <w:r w:rsidR="00B52607">
      <w:rPr>
        <w:rStyle w:val="Numeropagina"/>
        <w:noProof/>
        <w:lang w:val="fr-FR"/>
      </w:rPr>
      <w:t>3</w:t>
    </w:r>
    <w:r w:rsidR="0064633B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3B" w:rsidRPr="00A45145" w:rsidRDefault="0064633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BD1C047" wp14:editId="58CA180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F324B83"/>
    <w:multiLevelType w:val="hybridMultilevel"/>
    <w:tmpl w:val="66A2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64633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1621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523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11C3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465D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3984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3C75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633B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373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71C6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1433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8A7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607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1E33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E41E3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B0B8-B390-4E3E-AC05-BA223B0AD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178F9-6B0C-4E17-A545-A3B1C99C2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88480-C3A4-49BB-9296-B1084D83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8779D-C18B-406B-AF02-982D8041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2015-10-23T08:10:00Z</dcterms:created>
  <dcterms:modified xsi:type="dcterms:W3CDTF">2015-10-23T08:10:00Z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1258/11</vt:lpwstr>
  </property>
  <property fmtid="{D5CDD505-2E9C-101B-9397-08002B2CF9AE}" pid="4" name="CASEID">
    <vt:lpwstr>690906</vt:lpwstr>
  </property>
  <property fmtid="{D5CDD505-2E9C-101B-9397-08002B2CF9AE}" pid="5" name="OrigTemp">
    <vt:lpwstr>French\Documents\DF01 Decisions et Rapports\DF1.5 Décision page de titre (si macro de conversion ne marche pas).dotm</vt:lpwstr>
  </property>
  <property fmtid="{D5CDD505-2E9C-101B-9397-08002B2CF9AE}" pid="6" name="ContentTypeId">
    <vt:lpwstr>0x010100558EB02BDB9E204AB350EDD385B68E10</vt:lpwstr>
  </property>
</Properties>
</file>